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F0E92" w14:textId="6ACACCCC" w:rsidR="00F9124F" w:rsidRPr="00543865" w:rsidRDefault="00543865" w:rsidP="0054386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43865">
        <w:rPr>
          <w:rFonts w:ascii="Arial" w:hAnsi="Arial" w:cs="Arial"/>
          <w:b/>
          <w:bCs/>
          <w:sz w:val="24"/>
          <w:szCs w:val="24"/>
          <w:u w:val="single"/>
        </w:rPr>
        <w:t>AGAR Explanations 22/23</w:t>
      </w:r>
    </w:p>
    <w:p w14:paraId="3489662D" w14:textId="77777777" w:rsidR="00543865" w:rsidRDefault="00543865">
      <w:pPr>
        <w:rPr>
          <w:rFonts w:ascii="Arial" w:hAnsi="Arial" w:cs="Arial"/>
        </w:rPr>
      </w:pPr>
    </w:p>
    <w:p w14:paraId="7F0DC719" w14:textId="6E96D35E" w:rsidR="00543865" w:rsidRDefault="005438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was only one item we had to tick “no” for in section 1 of the AGAR form. This was due to the fact that we were granted an extension by the external auditor PKF Littlejohn, in order to complete our 21/22 audit. However, because we were granted an extension, we did not meet the requirements of the Public Right to View having to be the first 10 days of July. </w:t>
      </w:r>
    </w:p>
    <w:p w14:paraId="7101AFE4" w14:textId="598C92B1" w:rsidR="00543865" w:rsidRPr="00543865" w:rsidRDefault="005438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were no other issues raised by our internal auditor. </w:t>
      </w:r>
    </w:p>
    <w:sectPr w:rsidR="00543865" w:rsidRPr="00543865" w:rsidSect="005438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65"/>
    <w:rsid w:val="00543865"/>
    <w:rsid w:val="00F705AC"/>
    <w:rsid w:val="00F9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4BB08"/>
  <w15:chartTrackingRefBased/>
  <w15:docId w15:val="{84576B43-F787-43C4-8A7B-DEE202A8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Leggett</dc:creator>
  <cp:keywords/>
  <dc:description/>
  <cp:lastModifiedBy>Kate Leggett</cp:lastModifiedBy>
  <cp:revision>1</cp:revision>
  <dcterms:created xsi:type="dcterms:W3CDTF">2023-06-27T10:30:00Z</dcterms:created>
  <dcterms:modified xsi:type="dcterms:W3CDTF">2023-06-27T10:35:00Z</dcterms:modified>
</cp:coreProperties>
</file>